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bidi w:val="true"/>
        <w:spacing w:before="0" w:after="113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تعهدنامه تعر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یف شماره خدماتی</w:t>
      </w:r>
    </w:p>
    <w:p>
      <w:pPr>
        <w:widowControl w:val="false"/>
        <w:suppressAutoHyphens w:val="true"/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احتراماً طبق ابلاغ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یه شرکت ارتباطات سیار ایران، از اول اردیبهشت ماه سال 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1392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، سرشماره‌ها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ی ارسال پیامک انبوه به دو گروه تبلیغاتی و خدماتی 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که شرح آن در ذیل آمده است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دسته‌بندی می‌شوند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لذا شرکت و یا موسسه‌ای که درخواست دریافت شماره خدماتی را دارد؛ می‌بایست ضمن مطالعه دقیق این تعهدنامه، نسبت به تکمیل و ارائه آن اقدام نماید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widowControl w:val="false"/>
        <w:suppressAutoHyphens w:val="true"/>
        <w:bidi w:val="true"/>
        <w:spacing w:before="57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B Nazanin" w:hAnsi="B Nazanin" w:cs="B Nazanin" w:eastAsia="B Nazanin"/>
          <w:color w:val="auto"/>
          <w:spacing w:val="0"/>
          <w:position w:val="0"/>
          <w:sz w:val="22"/>
          <w:shd w:fill="auto" w:val="clear"/>
        </w:rPr>
        <w:t xml:space="preserve">شماره خدمات</w:t>
      </w:r>
      <w:r>
        <w:rPr>
          <w:rFonts w:ascii="B Nazanin" w:hAnsi="B Nazanin" w:cs="B Nazanin" w:eastAsia="B Nazanin"/>
          <w:color w:val="auto"/>
          <w:spacing w:val="0"/>
          <w:position w:val="0"/>
          <w:sz w:val="22"/>
          <w:shd w:fill="auto" w:val="clear"/>
        </w:rPr>
        <w:t xml:space="preserve">ی</w:t>
      </w:r>
    </w:p>
    <w:p>
      <w:pPr>
        <w:widowControl w:val="false"/>
        <w:suppressAutoHyphens w:val="true"/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شماره‌ها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ی خدماتی متعلق به شرکت‌ها، دفاتر، و سازمان‌هایی است که پیامک‌هایی با محتوای خدماتی، مشخص و در محدوده کاری همان مجموعه برای مخاطباتی شناخته شده که خود درخواست دریافت این پیامک‌ها را داده‌اند، ارسال می‌کنند و محتوای آن اطلاع‌رسانی و ارائه خدمات به افراد داوطلب و شناخته شده است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widowControl w:val="false"/>
        <w:suppressAutoHyphens w:val="true"/>
        <w:bidi w:val="true"/>
        <w:spacing w:before="57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B Nazanin" w:hAnsi="B Nazanin" w:cs="B Nazanin" w:eastAsia="B Nazanin"/>
          <w:color w:val="auto"/>
          <w:spacing w:val="0"/>
          <w:position w:val="0"/>
          <w:sz w:val="22"/>
          <w:shd w:fill="auto" w:val="clear"/>
        </w:rPr>
        <w:t xml:space="preserve">شرح تخلفات و الزامات</w:t>
      </w:r>
    </w:p>
    <w:p>
      <w:pPr>
        <w:widowControl w:val="false"/>
        <w:numPr>
          <w:ilvl w:val="0"/>
          <w:numId w:val="6"/>
        </w:numPr>
        <w:tabs>
          <w:tab w:val="left" w:pos="0" w:leader="none"/>
        </w:tabs>
        <w:suppressAutoHyphens w:val="true"/>
        <w:bidi w:val="true"/>
        <w:spacing w:before="0" w:after="0" w:line="240"/>
        <w:ind w:right="0" w:left="363" w:hanging="3"/>
        <w:jc w:val="both"/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هر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گونه ارسال پیامک که 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بدون رضایت صاحب تلفن همراه و بدون اطلاع ایشان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 صورت پذیرد، پیامک تبلیغاتی محسوب شده و ارسال اینگونه پیام‌ها برای مخاطبانی که با اطلاع خود درخواست دریافت این پیامک‌ها را نداده‌اند؛ امکان‌پذیر نیست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همچنین شرکت مذکور موظف است؛ شرایط لغو دریافت پیامک را برای مشترک فراهم نموده و راهنمای عدم دریافت را به شکل مستمر برای مشترک ارسال نماید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widowControl w:val="false"/>
        <w:numPr>
          <w:ilvl w:val="0"/>
          <w:numId w:val="6"/>
        </w:numPr>
        <w:tabs>
          <w:tab w:val="left" w:pos="0" w:leader="none"/>
        </w:tabs>
        <w:suppressAutoHyphens w:val="true"/>
        <w:bidi w:val="true"/>
        <w:spacing w:before="0" w:after="0" w:line="240"/>
        <w:ind w:right="0" w:left="363" w:hanging="3"/>
        <w:jc w:val="both"/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چنانچه شرکت، زیرمجموعه و یا مشتریان بر خلاف این تعهدنامه خطوط خود را از حالت تبلیغاتی به خدماتی تغییر داده و با سرشماره خدماتی خود ارسال تبلیغاتی انجام دهد 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ارسال هر گونه محتوا مغایر با موضوع اعلام شده در تعهدنامه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ضمن تغییر کاربری سرشماره، مشمول پیگرد قانونی بوده و مسئولیت آن تماماً بر عهده ایشان است؛ لذا موظف به جبران تمام خسارات مادی و معنوی وارده به شرکت ارتباطات سیار ایران مطابق آنچه در این تعهدنامه آمده است؛ می‌باشد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widowControl w:val="false"/>
        <w:numPr>
          <w:ilvl w:val="0"/>
          <w:numId w:val="6"/>
        </w:numPr>
        <w:tabs>
          <w:tab w:val="left" w:pos="0" w:leader="none"/>
        </w:tabs>
        <w:suppressAutoHyphens w:val="true"/>
        <w:bidi w:val="true"/>
        <w:spacing w:before="0" w:after="0" w:line="240"/>
        <w:ind w:right="0" w:left="363" w:hanging="3"/>
        <w:jc w:val="both"/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هر شر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کت موظف به ارائه لیست مخاطبین خود برای هر سرشماره خدماتی بوده و می‌بایست پس از هرگونه اصلاح، تغییرات در لیست را به اطلاع شرکت همراه اول برساند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widowControl w:val="false"/>
        <w:suppressAutoHyphens w:val="true"/>
        <w:bidi w:val="true"/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ن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کته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قانونگذاری تخلفات، تشخیص نوع آن و اعمال جریمه، تماما به عهده شرکت ارتباطات سیار ایران 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همراه اول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) 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است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widowControl w:val="false"/>
        <w:suppressAutoHyphens w:val="true"/>
        <w:bidi w:val="true"/>
        <w:spacing w:before="57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B Nazanin" w:hAnsi="B Nazanin" w:cs="B Nazanin" w:eastAsia="B Nazanin"/>
          <w:color w:val="auto"/>
          <w:spacing w:val="0"/>
          <w:position w:val="0"/>
          <w:sz w:val="22"/>
          <w:shd w:fill="auto" w:val="clear"/>
        </w:rPr>
        <w:t xml:space="preserve">شرح جر</w:t>
      </w:r>
      <w:r>
        <w:rPr>
          <w:rFonts w:ascii="B Nazanin" w:hAnsi="B Nazanin" w:cs="B Nazanin" w:eastAsia="B Nazanin"/>
          <w:color w:val="auto"/>
          <w:spacing w:val="0"/>
          <w:position w:val="0"/>
          <w:sz w:val="22"/>
          <w:shd w:fill="auto" w:val="clear"/>
        </w:rPr>
        <w:t xml:space="preserve">یمه تخلف با خطوط خدماتی</w:t>
      </w:r>
    </w:p>
    <w:p>
      <w:pPr>
        <w:widowControl w:val="false"/>
        <w:suppressAutoHyphens w:val="true"/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ارسال هر 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پیامک تبلیغاتی از خطوط خدماتی به مشترکین لیست سیاه، علاوه بر خارج شدن سرشماره از حالت خدماتی، مشمول جریمه 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ثابت 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300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میلیون ریالی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 و جریمه 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متغیر 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240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ريال به ازای هر پارت پیامک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 خواهد شد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widowControl w:val="false"/>
        <w:suppressAutoHyphens w:val="true"/>
        <w:bidi w:val="true"/>
        <w:spacing w:before="57" w:after="2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B Nazanin" w:hAnsi="B Nazanin" w:cs="B Nazanin" w:eastAsia="B Nazanin"/>
          <w:color w:val="auto"/>
          <w:spacing w:val="0"/>
          <w:position w:val="0"/>
          <w:sz w:val="22"/>
          <w:shd w:fill="auto" w:val="clear"/>
        </w:rPr>
        <w:t xml:space="preserve">تعهدنامه</w:t>
      </w:r>
    </w:p>
    <w:p>
      <w:pPr>
        <w:widowControl w:val="false"/>
        <w:suppressAutoHyphens w:val="true"/>
        <w:bidi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در صورت بروز هر نوع تخلف از مفاد ا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ین تعهد، اعم از اینکه شرکت 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............................................. 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رأسا یا به واسطه زیرمجموعه‌ها و شرکت‌های تابعه خود، مرتکب شوند؛ علاوه بر متعهد بودن در برابر شرکت مگفا ، منفردا پاسخگوی نهادهای ذی‌ربط و اشخاص حقوق خصوصی و عمومی از هر بابتی خواهد بود</w:t>
      </w:r>
      <w:r>
        <w:rPr>
          <w:rFonts w:ascii="B Nazanin" w:hAnsi="B Nazanin" w:cs="B Nazanin" w:eastAsia="B Nazanin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tbl>
      <w:tblPr>
        <w:bidiVisual w:val="true"/>
      </w:tblPr>
      <w:tblGrid>
        <w:gridCol w:w="4818"/>
        <w:gridCol w:w="4819"/>
      </w:tblGrid>
      <w:tr>
        <w:trPr>
          <w:trHeight w:val="258" w:hRule="auto"/>
          <w:jc w:val="center"/>
        </w:trPr>
        <w:tc>
          <w:tcPr>
            <w:tcW w:w="96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 Nazanin" w:hAnsi="B Nazanin" w:cs="B Nazanin" w:eastAsia="B Nazani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مشخصات متقاض</w:t>
            </w:r>
            <w:r>
              <w:rPr>
                <w:rFonts w:ascii="B Nazanin" w:hAnsi="B Nazanin" w:cs="B Nazanin" w:eastAsia="B Nazani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ی شماره پیامک خدماتی</w:t>
            </w:r>
          </w:p>
        </w:tc>
      </w:tr>
      <w:tr>
        <w:trPr>
          <w:trHeight w:val="774" w:hRule="auto"/>
          <w:jc w:val="center"/>
        </w:trPr>
        <w:tc>
          <w:tcPr>
            <w:tcW w:w="9637" w:type="dxa"/>
            <w:gridSpan w:val="2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bidi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مشخصات و هو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یت متقاضی 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شخص حقوقی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  <w:p>
            <w:pPr>
              <w:widowControl w:val="false"/>
              <w:suppressAutoHyphens w:val="true"/>
              <w:bidi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نام شر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کت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سازمان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موسسه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widowControl w:val="false"/>
              <w:suppressAutoHyphens w:val="true"/>
              <w:bidi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نوع فعال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یت شرکت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/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سازمان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موسسه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</w:tr>
      <w:tr>
        <w:trPr>
          <w:trHeight w:val="605" w:hRule="auto"/>
          <w:jc w:val="center"/>
        </w:trPr>
        <w:tc>
          <w:tcPr>
            <w:tcW w:w="4818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bidi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شناسه مل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widowControl w:val="false"/>
              <w:suppressAutoHyphens w:val="true"/>
              <w:bidi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شماره اقتصاد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ی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widowControl w:val="false"/>
              <w:suppressAutoHyphens w:val="true"/>
              <w:bidi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کدملی مدیر عامل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widowControl w:val="false"/>
              <w:suppressAutoHyphens w:val="true"/>
              <w:bidi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شماره تلفن ثابت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bidi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شماره ثبت شر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کت ها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widowControl w:val="false"/>
              <w:suppressAutoHyphens w:val="true"/>
              <w:bidi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مد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یر عامل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widowControl w:val="false"/>
              <w:suppressAutoHyphens w:val="true"/>
              <w:bidi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تلفن همراه مد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یر عامل 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همراه اول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):                                                                                            </w:t>
            </w:r>
          </w:p>
          <w:p>
            <w:pPr>
              <w:widowControl w:val="false"/>
              <w:suppressAutoHyphens w:val="true"/>
              <w:bidi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شماره نمابر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</w:tr>
      <w:tr>
        <w:trPr>
          <w:trHeight w:val="605" w:hRule="auto"/>
          <w:jc w:val="center"/>
        </w:trPr>
        <w:tc>
          <w:tcPr>
            <w:tcW w:w="963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bidi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نشان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ی شرکت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سازمان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موسسه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</w:tr>
    </w:tbl>
    <w:p>
      <w:pPr>
        <w:widowControl w:val="false"/>
        <w:suppressAutoHyphens w:val="true"/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bidiVisual w:val="true"/>
      </w:tblPr>
      <w:tblGrid>
        <w:gridCol w:w="4818"/>
        <w:gridCol w:w="4819"/>
      </w:tblGrid>
      <w:tr>
        <w:trPr>
          <w:trHeight w:val="258" w:hRule="auto"/>
          <w:jc w:val="center"/>
        </w:trPr>
        <w:tc>
          <w:tcPr>
            <w:tcW w:w="96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widowControl w:val="false"/>
              <w:suppressAutoHyphens w:val="true"/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 Nazanin" w:hAnsi="B Nazanin" w:cs="B Nazanin" w:eastAsia="B Nazani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مشخصات و هو</w:t>
            </w:r>
            <w:r>
              <w:rPr>
                <w:rFonts w:ascii="B Nazanin" w:hAnsi="B Nazanin" w:cs="B Nazanin" w:eastAsia="B Nazani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یت مدیرعامل، نماینده مدیرعامل یا نماینده قانونی شرکت</w:t>
            </w:r>
            <w:r>
              <w:rPr>
                <w:rFonts w:ascii="B Nazanin" w:hAnsi="B Nazanin" w:cs="B Nazanin" w:eastAsia="B Nazani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</w:tr>
      <w:tr>
        <w:trPr>
          <w:trHeight w:val="307" w:hRule="auto"/>
          <w:jc w:val="center"/>
        </w:trPr>
        <w:tc>
          <w:tcPr>
            <w:tcW w:w="96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bidi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نام و نام خانواد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گی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</w:tr>
      <w:tr>
        <w:trPr>
          <w:trHeight w:val="605" w:hRule="auto"/>
          <w:jc w:val="center"/>
        </w:trPr>
        <w:tc>
          <w:tcPr>
            <w:tcW w:w="481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bidi w:val="true"/>
              <w:spacing w:before="0" w:after="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کدملی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widowControl w:val="false"/>
              <w:suppressAutoHyphens w:val="true"/>
              <w:bidi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آدرس ا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یمیل سازمانی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bidi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تلفن همراه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widowControl w:val="false"/>
              <w:suppressAutoHyphens w:val="true"/>
              <w:bidi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آدرس سا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یت شرکت 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/ 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سازمان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</w:tc>
      </w:tr>
      <w:tr>
        <w:trPr>
          <w:trHeight w:val="605" w:hRule="auto"/>
          <w:jc w:val="center"/>
        </w:trPr>
        <w:tc>
          <w:tcPr>
            <w:tcW w:w="9637" w:type="dxa"/>
            <w:gridSpan w:val="2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uppressAutoHyphens w:val="true"/>
              <w:bidi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سرشماره 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پیامکی 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ثبت به صورت حقوقی و به نام شرکت درخواست کننده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):</w:t>
            </w:r>
          </w:p>
          <w:p>
            <w:pPr>
              <w:widowControl w:val="false"/>
              <w:suppressAutoHyphens w:val="true"/>
              <w:bidi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جامعه هدف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widowControl w:val="false"/>
              <w:suppressAutoHyphens w:val="true"/>
              <w:bidi w:val="true"/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موضوع محتوا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ی پیامک خدماتی</w:t>
            </w:r>
            <w:r>
              <w:rPr>
                <w:rFonts w:ascii="B Nazanin" w:hAnsi="B Nazanin" w:cs="B Nazanin" w:eastAsia="B Nazanin"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</w:p>
          <w:p>
            <w:pPr>
              <w:widowControl w:val="false"/>
              <w:suppressAutoHyphens w:val="true"/>
              <w:bidi w:val="true"/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bidi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B Nazanin" w:hAnsi="B Nazanin" w:cs="B Nazanin" w:eastAsia="B Nazanin"/>
          <w:color w:val="auto"/>
          <w:spacing w:val="0"/>
          <w:position w:val="0"/>
          <w:sz w:val="22"/>
          <w:shd w:fill="auto" w:val="clear"/>
        </w:rPr>
        <w:t xml:space="preserve">* </w:t>
      </w:r>
      <w:r>
        <w:rPr>
          <w:rFonts w:ascii="B Nazanin" w:hAnsi="B Nazanin" w:cs="B Nazanin" w:eastAsia="B Nazanin"/>
          <w:color w:val="auto"/>
          <w:spacing w:val="0"/>
          <w:position w:val="0"/>
          <w:sz w:val="22"/>
          <w:shd w:fill="auto" w:val="clear"/>
        </w:rPr>
        <w:t xml:space="preserve">ت</w:t>
      </w:r>
      <w:r>
        <w:rPr>
          <w:rFonts w:ascii="B Nazanin" w:hAnsi="B Nazanin" w:cs="B Nazanin" w:eastAsia="B Nazanin"/>
          <w:color w:val="auto"/>
          <w:spacing w:val="0"/>
          <w:position w:val="0"/>
          <w:sz w:val="22"/>
          <w:shd w:fill="auto" w:val="clear"/>
        </w:rPr>
        <w:t xml:space="preserve">کمیل کلیه موارد الزامی است و صحت‌سنجی آن مطابق با سامانه احراز هویت انجام خواهد شد</w:t>
      </w:r>
      <w:r>
        <w:rPr>
          <w:rFonts w:ascii="B Nazanin" w:hAnsi="B Nazanin" w:cs="B Nazanin" w:eastAsia="B Nazani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widowControl w:val="false"/>
        <w:suppressAutoHyphens w:val="true"/>
        <w:bidi w:val="true"/>
        <w:spacing w:before="0" w:after="0" w:line="240"/>
        <w:ind w:right="0" w:left="623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B Nazanin" w:hAnsi="B Nazanin" w:cs="B Nazanin" w:eastAsia="B Nazanin"/>
          <w:color w:val="auto"/>
          <w:spacing w:val="0"/>
          <w:position w:val="0"/>
          <w:sz w:val="22"/>
          <w:shd w:fill="auto" w:val="clear"/>
        </w:rPr>
        <w:t xml:space="preserve">امضاء و تار</w:t>
      </w:r>
      <w:r>
        <w:rPr>
          <w:rFonts w:ascii="B Nazanin" w:hAnsi="B Nazanin" w:cs="B Nazanin" w:eastAsia="B Nazanin"/>
          <w:color w:val="auto"/>
          <w:spacing w:val="0"/>
          <w:position w:val="0"/>
          <w:sz w:val="22"/>
          <w:shd w:fill="auto" w:val="clear"/>
        </w:rPr>
        <w:t xml:space="preserve">یخ</w:t>
      </w:r>
    </w:p>
    <w:p>
      <w:pPr>
        <w:widowControl w:val="false"/>
        <w:suppressAutoHyphens w:val="true"/>
        <w:bidi w:val="true"/>
        <w:spacing w:before="0" w:after="0" w:line="240"/>
        <w:ind w:right="0" w:left="6236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B Nazanin" w:hAnsi="B Nazanin" w:cs="B Nazanin" w:eastAsia="B Nazanin"/>
          <w:color w:val="auto"/>
          <w:spacing w:val="0"/>
          <w:position w:val="0"/>
          <w:sz w:val="22"/>
          <w:shd w:fill="auto" w:val="clear"/>
        </w:rPr>
        <w:t xml:space="preserve">مهر شر</w:t>
      </w:r>
      <w:r>
        <w:rPr>
          <w:rFonts w:ascii="B Nazanin" w:hAnsi="B Nazanin" w:cs="B Nazanin" w:eastAsia="B Nazanin"/>
          <w:color w:val="auto"/>
          <w:spacing w:val="0"/>
          <w:position w:val="0"/>
          <w:sz w:val="22"/>
          <w:shd w:fill="auto" w:val="clear"/>
        </w:rPr>
        <w:t xml:space="preserve">کت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